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eastAsia="zh-CN"/>
        </w:rPr>
      </w:pPr>
    </w:p>
    <w:p>
      <w:pPr>
        <w:keepNext w:val="0"/>
        <w:keepLines w:val="0"/>
        <w:pageBreakBefore w:val="0"/>
        <w:widowControl w:val="0"/>
        <w:tabs>
          <w:tab w:val="left" w:pos="4723"/>
        </w:tabs>
        <w:kinsoku/>
        <w:wordWrap/>
        <w:overflowPunct/>
        <w:topLinePunct w:val="0"/>
        <w:autoSpaceDE/>
        <w:autoSpaceDN/>
        <w:bidi w:val="0"/>
        <w:adjustRightInd/>
        <w:snapToGrid/>
        <w:spacing w:line="578" w:lineRule="exact"/>
        <w:jc w:val="lef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tabs>
          <w:tab w:val="left" w:pos="4723"/>
        </w:tabs>
        <w:kinsoku/>
        <w:wordWrap/>
        <w:overflowPunct/>
        <w:topLinePunct w:val="0"/>
        <w:autoSpaceDE/>
        <w:autoSpaceDN/>
        <w:bidi w:val="0"/>
        <w:adjustRightInd/>
        <w:snapToGrid/>
        <w:spacing w:line="578" w:lineRule="exact"/>
        <w:jc w:val="lef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tabs>
          <w:tab w:val="left" w:pos="4723"/>
        </w:tabs>
        <w:kinsoku/>
        <w:wordWrap/>
        <w:overflowPunct/>
        <w:topLinePunct w:val="0"/>
        <w:autoSpaceDE/>
        <w:autoSpaceDN/>
        <w:bidi w:val="0"/>
        <w:adjustRightInd/>
        <w:snapToGrid/>
        <w:spacing w:line="578" w:lineRule="exact"/>
        <w:jc w:val="left"/>
        <w:textAlignment w:val="auto"/>
        <w:rPr>
          <w:rFonts w:hint="default" w:ascii="Times New Roman" w:hAnsi="Times New Roman" w:eastAsia="仿宋_GB2312" w:cs="Times New Roman"/>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eastAsia="zh-CN"/>
        </w:rPr>
      </w:pPr>
    </w:p>
    <w:p>
      <w:pPr>
        <w:spacing w:line="60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包医保发〔202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eastAsia" w:ascii="Times New Roman" w:hAnsi="Times New Roman" w:cs="Times New Roman"/>
          <w:sz w:val="32"/>
          <w:szCs w:val="32"/>
          <w:lang w:val="en-US" w:eastAsia="zh-CN"/>
        </w:rPr>
        <w:t>36</w:t>
      </w:r>
      <w:r>
        <w:rPr>
          <w:rFonts w:hint="default" w:ascii="Times New Roman" w:hAnsi="Times New Roman" w:eastAsia="仿宋_GB2312" w:cs="Times New Roman"/>
          <w:sz w:val="32"/>
          <w:szCs w:val="32"/>
          <w:lang w:eastAsia="zh-CN"/>
        </w:rPr>
        <w:t>号</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方正小标宋简体" w:hAnsi="方正小标宋简体" w:eastAsia="方正小标宋简体" w:cs="方正小标宋简体"/>
          <w:sz w:val="44"/>
          <w:szCs w:val="44"/>
          <w:lang w:eastAsia="zh-CN"/>
        </w:rPr>
      </w:pPr>
    </w:p>
    <w:p>
      <w:pPr>
        <w:pStyle w:val="2"/>
        <w:ind w:left="0" w:leftChars="0" w:firstLine="0" w:firstLineChars="0"/>
        <w:rPr>
          <w:rFonts w:hint="eastAsia"/>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333333"/>
          <w:sz w:val="44"/>
          <w:szCs w:val="44"/>
          <w:highlight w:val="none"/>
          <w:lang w:val="en-US" w:eastAsia="zh-CN"/>
        </w:rPr>
      </w:pPr>
      <w:r>
        <w:rPr>
          <w:rFonts w:hint="eastAsia" w:ascii="Times New Roman" w:hAnsi="Times New Roman" w:eastAsia="方正小标宋简体" w:cs="Times New Roman"/>
          <w:color w:val="333333"/>
          <w:sz w:val="44"/>
          <w:szCs w:val="44"/>
          <w:highlight w:val="none"/>
          <w:lang w:val="en-US" w:eastAsia="zh-CN"/>
        </w:rPr>
        <w:t>关于完善包头市</w:t>
      </w:r>
      <w:r>
        <w:rPr>
          <w:rFonts w:hint="default" w:ascii="Times New Roman" w:hAnsi="Times New Roman" w:eastAsia="方正小标宋简体" w:cs="Times New Roman"/>
          <w:color w:val="333333"/>
          <w:sz w:val="44"/>
          <w:szCs w:val="44"/>
          <w:highlight w:val="none"/>
          <w:lang w:val="en-US" w:eastAsia="zh-CN"/>
        </w:rPr>
        <w:t>居民基本医疗保险</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333333"/>
          <w:sz w:val="44"/>
          <w:szCs w:val="44"/>
          <w:highlight w:val="none"/>
          <w:lang w:val="en-US" w:eastAsia="zh-CN"/>
        </w:rPr>
      </w:pPr>
      <w:r>
        <w:rPr>
          <w:rFonts w:hint="default" w:ascii="Times New Roman" w:hAnsi="Times New Roman" w:eastAsia="方正小标宋简体" w:cs="Times New Roman"/>
          <w:color w:val="333333"/>
          <w:sz w:val="44"/>
          <w:szCs w:val="44"/>
          <w:highlight w:val="none"/>
          <w:lang w:val="en-US" w:eastAsia="zh-CN"/>
        </w:rPr>
        <w:t>重大疾病</w:t>
      </w:r>
      <w:r>
        <w:rPr>
          <w:rFonts w:hint="eastAsia" w:ascii="Times New Roman" w:hAnsi="Times New Roman" w:eastAsia="方正小标宋简体" w:cs="Times New Roman"/>
          <w:color w:val="333333"/>
          <w:sz w:val="44"/>
          <w:szCs w:val="44"/>
          <w:highlight w:val="none"/>
          <w:lang w:val="en-US" w:eastAsia="zh-CN"/>
        </w:rPr>
        <w:t>管理办法</w:t>
      </w:r>
      <w:r>
        <w:rPr>
          <w:rFonts w:hint="default" w:ascii="Times New Roman" w:hAnsi="Times New Roman" w:eastAsia="方正小标宋简体" w:cs="Times New Roman"/>
          <w:color w:val="333333"/>
          <w:sz w:val="44"/>
          <w:szCs w:val="44"/>
          <w:highlight w:val="none"/>
          <w:lang w:val="en-US" w:eastAsia="zh-CN"/>
        </w:rPr>
        <w:t>的通知</w:t>
      </w:r>
    </w:p>
    <w:p>
      <w:pPr>
        <w:ind w:firstLine="321" w:firstLineChars="100"/>
        <w:rPr>
          <w:rFonts w:hint="default" w:ascii="Times New Roman" w:hAnsi="Times New Roman" w:cs="Times New Roman"/>
          <w:b/>
          <w:bCs/>
          <w:lang w:val="en-US" w:eastAsia="zh-CN"/>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各旗县区医疗保障局、稀土高新区党群工作部，</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市医疗保险服务中心，</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全市医保定点医疗机构：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为提升</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全</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市居民基本医疗保险重大疾病</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医疗</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保障水平，减轻参保居民就医负担，</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经市医疗保障局第12次党组会研究审议通过，</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现将</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包头市</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居民基本医疗保险重大疾病管理</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有关事项</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通知如下</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pP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一、适用人群</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pP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适用于参加我市城乡居民基本医疗保险并在待遇享受期内的参保人员</w:t>
      </w:r>
      <w:r>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pP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二、病种范围</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pPr>
      <w:r>
        <w:rPr>
          <w:rFonts w:hint="eastAsia" w:ascii="Times New Roman" w:hAnsi="Times New Roman" w:eastAsia="仿宋" w:cs="Times New Roman"/>
          <w:color w:val="auto"/>
          <w:sz w:val="32"/>
          <w:szCs w:val="32"/>
          <w:highlight w:val="none"/>
          <w:lang w:val="en-US" w:eastAsia="zh-CN"/>
        </w:rPr>
        <w:t>列入我市</w:t>
      </w: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城乡居民基本医疗保险</w:t>
      </w:r>
      <w:r>
        <w:rPr>
          <w:rFonts w:hint="eastAsia" w:ascii="Times New Roman" w:hAnsi="Times New Roman" w:eastAsia="仿宋" w:cs="Times New Roman"/>
          <w:color w:val="auto"/>
          <w:sz w:val="32"/>
          <w:szCs w:val="32"/>
          <w:highlight w:val="none"/>
          <w:lang w:val="en-US" w:eastAsia="zh-CN"/>
        </w:rPr>
        <w:t>重大疾病的病种</w:t>
      </w:r>
      <w:r>
        <w:rPr>
          <w:rFonts w:hint="default" w:ascii="Times New Roman" w:hAnsi="Times New Roman" w:eastAsia="仿宋" w:cs="Times New Roman"/>
          <w:color w:val="auto"/>
          <w:sz w:val="32"/>
          <w:szCs w:val="32"/>
          <w:highlight w:val="none"/>
          <w:lang w:val="en-US" w:eastAsia="zh-CN"/>
        </w:rPr>
        <w:t>包括：</w:t>
      </w:r>
      <w:r>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t>重</w:t>
      </w: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性</w:t>
      </w:r>
      <w:r>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t>精神病、苯丙酮尿症、布</w:t>
      </w: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鲁</w:t>
      </w:r>
      <w:r>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t>氏杆菌病。</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pP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三、待遇标准</w:t>
      </w:r>
    </w:p>
    <w:p>
      <w:pPr>
        <w:spacing w:line="600" w:lineRule="exact"/>
        <w:ind w:firstLine="640" w:firstLineChars="200"/>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pP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凡患有上述3种重大疾病的参保居民，其发生的</w:t>
      </w:r>
      <w:r>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t>重大疾病的报销费用计入参保人员年度最高支付限额</w:t>
      </w: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i w:val="0"/>
          <w:iCs w:val="0"/>
          <w:caps w:val="0"/>
          <w:color w:val="auto"/>
          <w:spacing w:val="0"/>
          <w:sz w:val="32"/>
          <w:szCs w:val="32"/>
          <w:highlight w:val="none"/>
          <w:shd w:val="clear" w:color="auto" w:fill="FFFFFF"/>
          <w:lang w:val="en-US" w:eastAsia="zh-CN"/>
        </w:rPr>
      </w:pPr>
      <w:r>
        <w:rPr>
          <w:rFonts w:hint="eastAsia" w:ascii="楷体" w:hAnsi="楷体" w:eastAsia="楷体" w:cs="楷体"/>
          <w:i w:val="0"/>
          <w:iCs w:val="0"/>
          <w:caps w:val="0"/>
          <w:color w:val="auto"/>
          <w:spacing w:val="0"/>
          <w:sz w:val="32"/>
          <w:szCs w:val="32"/>
          <w:highlight w:val="none"/>
          <w:shd w:val="clear" w:color="auto" w:fill="FFFFFF"/>
          <w:lang w:val="en-US" w:eastAsia="zh-CN"/>
        </w:rPr>
        <w:t>重性精神病</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pP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1.适用范围。患重性精神病，需长期住院治疗的参保患者。</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pP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2.病种范围。精神分裂症、双向情感障碍、偏执性精神病、分裂情感障碍、癫痫所致精神障碍、严重精神发育迟缓。</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pP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3.待遇标准。重性精神病报销采取床日费用付费方式管理，定点医疗机构按床日付费标准和患者住院天数累计计算住院医药费用，居民基本医疗保险基金承担80%，床日付费标准如下:</w:t>
      </w:r>
    </w:p>
    <w:tbl>
      <w:tblPr>
        <w:tblStyle w:val="9"/>
        <w:tblW w:w="937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37"/>
        <w:gridCol w:w="1679"/>
        <w:gridCol w:w="1679"/>
        <w:gridCol w:w="1679"/>
        <w:gridCol w:w="1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2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床日付费标准</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33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1—45天</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46—90天</w:t>
            </w:r>
          </w:p>
        </w:tc>
        <w:tc>
          <w:tcPr>
            <w:tcW w:w="18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91天—出院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含MECT</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（限20次以内）</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不含MECT</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8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三级医院</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二级医院</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r>
    </w:tbl>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楷体" w:hAnsi="楷体" w:eastAsia="楷体" w:cs="楷体"/>
          <w:i w:val="0"/>
          <w:iCs w:val="0"/>
          <w:caps w:val="0"/>
          <w:color w:val="auto"/>
          <w:spacing w:val="0"/>
          <w:sz w:val="32"/>
          <w:szCs w:val="32"/>
          <w:highlight w:val="none"/>
          <w:shd w:val="clear" w:color="auto" w:fill="FFFFFF"/>
          <w:lang w:val="en-US" w:eastAsia="zh-CN"/>
        </w:rPr>
      </w:pPr>
      <w:r>
        <w:rPr>
          <w:rFonts w:hint="default" w:ascii="楷体" w:hAnsi="楷体" w:eastAsia="楷体" w:cs="楷体"/>
          <w:i w:val="0"/>
          <w:iCs w:val="0"/>
          <w:caps w:val="0"/>
          <w:color w:val="auto"/>
          <w:spacing w:val="0"/>
          <w:sz w:val="32"/>
          <w:szCs w:val="32"/>
          <w:highlight w:val="none"/>
          <w:shd w:val="clear" w:color="auto" w:fill="FFFFFF"/>
          <w:lang w:val="en-US" w:eastAsia="zh-CN"/>
        </w:rPr>
        <w:t>苯丙酮尿症</w:t>
      </w:r>
      <w:r>
        <w:rPr>
          <w:rFonts w:hint="eastAsia" w:ascii="楷体" w:hAnsi="楷体" w:eastAsia="楷体" w:cs="楷体"/>
          <w:i w:val="0"/>
          <w:iCs w:val="0"/>
          <w:caps w:val="0"/>
          <w:color w:val="auto"/>
          <w:spacing w:val="0"/>
          <w:sz w:val="32"/>
          <w:szCs w:val="32"/>
          <w:highlight w:val="none"/>
          <w:shd w:val="clear" w:color="auto" w:fill="FFFFFF"/>
          <w:lang w:val="en-US" w:eastAsia="zh-CN"/>
        </w:rPr>
        <w:t>（又称高苯丙氨酸血症）</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t>1.</w:t>
      </w: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适用范围。</w:t>
      </w:r>
      <w:r>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t>0-14岁患苯丙酮尿症(含四氢生物蝶呤缺乏症)的儿童</w:t>
      </w: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t>2.报销</w:t>
      </w: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范围。治疗</w:t>
      </w:r>
      <w:r>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t>苯丙酮尿症</w:t>
      </w: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w:t>
      </w:r>
      <w:r>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t>含四氢生物蝶呤缺乏症</w:t>
      </w: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w:t>
      </w:r>
      <w:r>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t>的合规医药费用</w:t>
      </w: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w:t>
      </w:r>
      <w:r>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t>包括</w:t>
      </w: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治疗苯丙酮尿症必须的特殊食品（</w:t>
      </w:r>
      <w:r>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t>不含苯丙氨酸成分的</w:t>
      </w: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米、面、奶粉、蛋白粉等）</w:t>
      </w:r>
      <w:r>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t>、治疗专用药品</w:t>
      </w: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（盐酸沙丙蝶呤片、L-多巴、5-羟色胺等）</w:t>
      </w:r>
      <w:r>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t>、</w:t>
      </w: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以及血苯丙氨酸检测等检查</w:t>
      </w:r>
      <w:r>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t>费用</w:t>
      </w: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，特殊食品列为医用耗材。</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pP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3.待遇标准。</w:t>
      </w:r>
      <w:r>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t>居民基本医疗保险基金承担上述合规医药费用</w:t>
      </w: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（包括不含苯丙酮尿症成分的特殊食品、治疗专用药品、检查费用）</w:t>
      </w:r>
      <w:r>
        <w:rPr>
          <w:rFonts w:hint="default" w:ascii="Times New Roman" w:hAnsi="Times New Roman" w:eastAsia="仿宋" w:cs="Times New Roman"/>
          <w:i w:val="0"/>
          <w:iCs w:val="0"/>
          <w:caps w:val="0"/>
          <w:color w:val="auto"/>
          <w:spacing w:val="0"/>
          <w:sz w:val="32"/>
          <w:szCs w:val="32"/>
          <w:highlight w:val="none"/>
          <w:shd w:val="clear" w:color="auto" w:fill="FFFFFF"/>
          <w:lang w:val="en-US" w:eastAsia="zh-CN"/>
        </w:rPr>
        <w:t>的80%，年度个人累计报销限额不超过15000元。</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楷体" w:hAnsi="楷体" w:eastAsia="楷体" w:cs="楷体"/>
          <w:i w:val="0"/>
          <w:iCs w:val="0"/>
          <w:caps w:val="0"/>
          <w:color w:val="auto"/>
          <w:spacing w:val="0"/>
          <w:sz w:val="32"/>
          <w:szCs w:val="32"/>
          <w:highlight w:val="none"/>
          <w:shd w:val="clear" w:color="auto" w:fill="FFFFFF"/>
          <w:lang w:val="en-US" w:eastAsia="zh-CN"/>
        </w:rPr>
      </w:pPr>
      <w:r>
        <w:rPr>
          <w:rFonts w:hint="default" w:ascii="楷体" w:hAnsi="楷体" w:eastAsia="楷体" w:cs="楷体"/>
          <w:i w:val="0"/>
          <w:iCs w:val="0"/>
          <w:caps w:val="0"/>
          <w:color w:val="auto"/>
          <w:spacing w:val="0"/>
          <w:sz w:val="32"/>
          <w:szCs w:val="32"/>
          <w:highlight w:val="none"/>
          <w:shd w:val="clear" w:color="auto" w:fill="FFFFFF"/>
          <w:lang w:val="en-US" w:eastAsia="zh-CN"/>
        </w:rPr>
        <w:t>布</w:t>
      </w:r>
      <w:r>
        <w:rPr>
          <w:rFonts w:hint="eastAsia" w:ascii="楷体" w:hAnsi="楷体" w:eastAsia="楷体" w:cs="楷体"/>
          <w:i w:val="0"/>
          <w:iCs w:val="0"/>
          <w:caps w:val="0"/>
          <w:color w:val="auto"/>
          <w:spacing w:val="0"/>
          <w:sz w:val="32"/>
          <w:szCs w:val="32"/>
          <w:highlight w:val="none"/>
          <w:shd w:val="clear" w:color="auto" w:fill="FFFFFF"/>
          <w:lang w:val="en-US" w:eastAsia="zh-CN"/>
        </w:rPr>
        <w:t>鲁</w:t>
      </w:r>
      <w:r>
        <w:rPr>
          <w:rFonts w:hint="default" w:ascii="楷体" w:hAnsi="楷体" w:eastAsia="楷体" w:cs="楷体"/>
          <w:i w:val="0"/>
          <w:iCs w:val="0"/>
          <w:caps w:val="0"/>
          <w:color w:val="auto"/>
          <w:spacing w:val="0"/>
          <w:sz w:val="32"/>
          <w:szCs w:val="32"/>
          <w:highlight w:val="none"/>
          <w:shd w:val="clear" w:color="auto" w:fill="FFFFFF"/>
          <w:lang w:val="en-US" w:eastAsia="zh-CN"/>
        </w:rPr>
        <w:t>氏杆菌病</w:t>
      </w:r>
    </w:p>
    <w:p>
      <w:pPr>
        <w:spacing w:line="600" w:lineRule="exact"/>
        <w:ind w:firstLine="640" w:firstLineChars="200"/>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1.</w:t>
      </w: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适用范围。</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患有急性期和慢性期住院治疗费用</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w:t>
      </w:r>
    </w:p>
    <w:p>
      <w:pPr>
        <w:spacing w:line="600" w:lineRule="exact"/>
        <w:ind w:firstLine="640" w:firstLineChars="200"/>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2.</w:t>
      </w: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待遇标准。</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居民基本医疗保险基金承担医药总费用的80%</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其余20%由患者个人负担。</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i w:val="0"/>
          <w:iCs w:val="0"/>
          <w:caps w:val="0"/>
          <w:color w:val="auto"/>
          <w:spacing w:val="0"/>
          <w:sz w:val="32"/>
          <w:szCs w:val="32"/>
          <w:highlight w:val="none"/>
          <w:shd w:val="clear" w:color="auto" w:fill="FFFFFF"/>
          <w:lang w:val="en-US" w:eastAsia="zh-CN"/>
        </w:rPr>
      </w:pP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四、工作要求</w:t>
      </w:r>
    </w:p>
    <w:p>
      <w:pPr>
        <w:spacing w:line="600" w:lineRule="exact"/>
        <w:ind w:firstLine="640" w:firstLineChars="200"/>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（一）</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符合重大疾病病种范围的</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参保居民</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可持医保电子凭证或有效身份证件或社保卡，</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到全市医保定点医疗机构看病</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就医</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即可享受待遇</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w:t>
      </w:r>
    </w:p>
    <w:p>
      <w:pPr>
        <w:spacing w:line="600" w:lineRule="exact"/>
        <w:ind w:firstLine="640" w:firstLineChars="200"/>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（二）全市医保定点医疗机构</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要</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按照居民医保重大疾病的病种范围录入医保信息系统，</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实现</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参保居民就医看病</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一站式</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结算</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报销</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。严格执行医疗技术操作规范，掌握入、出院指征，确保医疗质量，有效控制医疗费用。</w:t>
      </w:r>
    </w:p>
    <w:p>
      <w:pPr>
        <w:spacing w:line="600" w:lineRule="exact"/>
        <w:ind w:firstLine="640" w:firstLineChars="200"/>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（三）市</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、旗县区级医</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保行政部门和</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医保</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经办机构要</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加强对</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定点医疗机构的监督管理，对拒收、推诿救治</w:t>
      </w:r>
      <w:r>
        <w:rPr>
          <w:rFonts w:hint="eastAsia" w:ascii="Times New Roman" w:hAnsi="Times New Roman" w:eastAsia="仿宋" w:cs="Times New Roman"/>
          <w:i w:val="0"/>
          <w:iCs w:val="0"/>
          <w:caps w:val="0"/>
          <w:color w:val="auto"/>
          <w:spacing w:val="0"/>
          <w:sz w:val="32"/>
          <w:szCs w:val="32"/>
          <w:highlight w:val="none"/>
          <w:shd w:val="clear" w:color="auto" w:fill="FFFFFF"/>
          <w:lang w:val="en-US" w:eastAsia="zh-CN"/>
        </w:rPr>
        <w:t>重大疾病</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患者</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的</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，将</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重大</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疾病范围之外的病种或治疗方法</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串</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换为</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重大</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疾病范围内病种或治疗方法</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的，</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将重大疾病限额范围之内的医疗费用通过外购处方、分解住院、分解支付、院外检查治疗等方式排除在外的，通过使用劣质材料、重复使用一次性耗材等方式降低医疗质量的单位和个人，按照有关文件要求严肃处理。</w:t>
      </w:r>
    </w:p>
    <w:p>
      <w:pPr>
        <w:spacing w:line="600" w:lineRule="exact"/>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pPr>
    </w:p>
    <w:p>
      <w:pPr>
        <w:spacing w:line="600" w:lineRule="exact"/>
        <w:ind w:firstLine="640" w:firstLineChars="200"/>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 xml:space="preserve">     </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 xml:space="preserve"> </w:t>
      </w:r>
    </w:p>
    <w:p>
      <w:pPr>
        <w:spacing w:line="600" w:lineRule="exact"/>
        <w:ind w:firstLine="4800" w:firstLineChars="1500"/>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包头市医疗保障局</w:t>
      </w:r>
    </w:p>
    <w:p>
      <w:pPr>
        <w:spacing w:line="600" w:lineRule="exact"/>
        <w:ind w:firstLine="4800" w:firstLineChars="1500"/>
        <w:rPr>
          <w:rFonts w:hint="eastAsia" w:ascii="Times New Roman" w:hAnsi="Times New Roman" w:cs="Times New Roman"/>
          <w:i w:val="0"/>
          <w:iCs w:val="0"/>
          <w:caps w:val="0"/>
          <w:color w:val="auto"/>
          <w:spacing w:val="0"/>
          <w:sz w:val="32"/>
          <w:szCs w:val="32"/>
          <w:highlight w:val="none"/>
          <w:shd w:val="clear" w:color="auto" w:fill="FFFFFF"/>
          <w:lang w:val="en-US" w:eastAsia="zh-CN"/>
        </w:rPr>
      </w:pP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2024年</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5</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月</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29日</w:t>
      </w:r>
    </w:p>
    <w:p>
      <w:pPr>
        <w:pStyle w:val="2"/>
        <w:rPr>
          <w:rFonts w:hint="eastAsia" w:ascii="Times New Roman" w:hAnsi="Times New Roman" w:cs="Times New Roman"/>
          <w:i w:val="0"/>
          <w:iCs w:val="0"/>
          <w:caps w:val="0"/>
          <w:color w:val="auto"/>
          <w:spacing w:val="0"/>
          <w:sz w:val="32"/>
          <w:szCs w:val="32"/>
          <w:highlight w:val="none"/>
          <w:shd w:val="clear" w:color="auto" w:fill="FFFFFF"/>
          <w:lang w:val="en-US" w:eastAsia="zh-CN"/>
        </w:rPr>
      </w:pPr>
    </w:p>
    <w:p>
      <w:pPr>
        <w:pStyle w:val="5"/>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（此件主动公开）</w:t>
      </w:r>
    </w:p>
    <w:p>
      <w:pPr>
        <w:pStyle w:val="2"/>
        <w:rPr>
          <w:rFonts w:hint="eastAsia" w:ascii="Times New Roman" w:hAnsi="Times New Roman" w:cs="Times New Roman"/>
          <w:i w:val="0"/>
          <w:iCs w:val="0"/>
          <w:caps w:val="0"/>
          <w:color w:val="auto"/>
          <w:spacing w:val="0"/>
          <w:sz w:val="32"/>
          <w:szCs w:val="32"/>
          <w:highlight w:val="none"/>
          <w:shd w:val="clear" w:color="auto" w:fill="FFFFFF"/>
          <w:lang w:val="en-US" w:eastAsia="zh-CN"/>
        </w:rPr>
      </w:pPr>
      <w:bookmarkStart w:id="0" w:name="_GoBack"/>
      <w:bookmarkEnd w:id="0"/>
    </w:p>
    <w:p>
      <w:pPr>
        <w:pStyle w:val="5"/>
        <w:rPr>
          <w:rFonts w:hint="eastAsia" w:ascii="Times New Roman" w:hAnsi="Times New Roman" w:cs="Times New Roman"/>
          <w:i w:val="0"/>
          <w:iCs w:val="0"/>
          <w:caps w:val="0"/>
          <w:color w:val="auto"/>
          <w:spacing w:val="0"/>
          <w:sz w:val="32"/>
          <w:szCs w:val="32"/>
          <w:highlight w:val="none"/>
          <w:shd w:val="clear" w:color="auto" w:fill="FFFFFF"/>
          <w:lang w:val="en-US" w:eastAsia="zh-CN"/>
        </w:rPr>
      </w:pPr>
    </w:p>
    <w:p>
      <w:pPr>
        <w:pStyle w:val="2"/>
        <w:rPr>
          <w:rFonts w:hint="eastAsia" w:ascii="Times New Roman" w:hAnsi="Times New Roman" w:cs="Times New Roman"/>
          <w:i w:val="0"/>
          <w:iCs w:val="0"/>
          <w:caps w:val="0"/>
          <w:color w:val="auto"/>
          <w:spacing w:val="0"/>
          <w:sz w:val="32"/>
          <w:szCs w:val="32"/>
          <w:highlight w:val="none"/>
          <w:shd w:val="clear" w:color="auto" w:fill="FFFFFF"/>
          <w:lang w:val="en-US" w:eastAsia="zh-CN"/>
        </w:rPr>
      </w:pPr>
    </w:p>
    <w:p>
      <w:pPr>
        <w:pStyle w:val="5"/>
        <w:rPr>
          <w:rFonts w:hint="eastAsia" w:ascii="Times New Roman" w:hAnsi="Times New Roman" w:cs="Times New Roman"/>
          <w:i w:val="0"/>
          <w:iCs w:val="0"/>
          <w:caps w:val="0"/>
          <w:color w:val="auto"/>
          <w:spacing w:val="0"/>
          <w:sz w:val="32"/>
          <w:szCs w:val="32"/>
          <w:highlight w:val="none"/>
          <w:shd w:val="clear" w:color="auto" w:fill="FFFFFF"/>
          <w:lang w:val="en-US" w:eastAsia="zh-CN"/>
        </w:rPr>
      </w:pPr>
    </w:p>
    <w:tbl>
      <w:tblPr>
        <w:tblStyle w:val="9"/>
        <w:tblpPr w:leftFromText="180" w:rightFromText="180" w:vertAnchor="text" w:horzAnchor="page" w:tblpX="1631" w:tblpY="1124"/>
        <w:tblW w:w="898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989" w:type="dxa"/>
            <w:noWrap w:val="0"/>
            <w:vAlign w:val="center"/>
          </w:tcPr>
          <w:p>
            <w:pPr>
              <w:keepNext w:val="0"/>
              <w:keepLines w:val="0"/>
              <w:pageBreakBefore w:val="0"/>
              <w:widowControl/>
              <w:kinsoku/>
              <w:wordWrap/>
              <w:overflowPunct/>
              <w:topLinePunct w:val="0"/>
              <w:autoSpaceDE/>
              <w:autoSpaceDN/>
              <w:bidi w:val="0"/>
              <w:spacing w:line="600" w:lineRule="exact"/>
              <w:ind w:firstLine="200"/>
              <w:jc w:val="left"/>
              <w:textAlignment w:val="auto"/>
              <w:rPr>
                <w:rFonts w:hint="default" w:ascii="Times New Roman" w:hAnsi="Times New Roman" w:eastAsia="仿宋_GB2312" w:cs="Times New Roman"/>
                <w:color w:val="000000"/>
                <w:kern w:val="0"/>
                <w:sz w:val="28"/>
                <w:szCs w:val="32"/>
              </w:rPr>
            </w:pPr>
            <w:r>
              <w:rPr>
                <w:rFonts w:hint="default" w:ascii="Times New Roman" w:hAnsi="Times New Roman" w:eastAsia="仿宋_GB2312" w:cs="Times New Roman"/>
                <w:color w:val="000000"/>
                <w:kern w:val="0"/>
                <w:sz w:val="28"/>
                <w:szCs w:val="28"/>
              </w:rPr>
              <w:t xml:space="preserve">包头市医疗保障局办公室                  </w:t>
            </w:r>
            <w:r>
              <w:rPr>
                <w:rFonts w:hint="default" w:ascii="Times New Roman" w:hAnsi="Times New Roman" w:eastAsia="仿宋_GB2312" w:cs="Times New Roman"/>
                <w:color w:val="000000"/>
                <w:kern w:val="0"/>
                <w:sz w:val="28"/>
                <w:szCs w:val="32"/>
              </w:rPr>
              <w:t>20</w:t>
            </w:r>
            <w:r>
              <w:rPr>
                <w:rFonts w:hint="default" w:ascii="Times New Roman" w:hAnsi="Times New Roman" w:cs="Times New Roman"/>
                <w:color w:val="000000"/>
                <w:kern w:val="0"/>
                <w:sz w:val="28"/>
                <w:szCs w:val="32"/>
                <w:lang w:val="en"/>
              </w:rPr>
              <w:t>24</w:t>
            </w:r>
            <w:r>
              <w:rPr>
                <w:rFonts w:hint="default" w:ascii="Times New Roman" w:hAnsi="Times New Roman" w:eastAsia="仿宋_GB2312" w:cs="Times New Roman"/>
                <w:color w:val="000000"/>
                <w:kern w:val="0"/>
                <w:sz w:val="28"/>
                <w:szCs w:val="32"/>
              </w:rPr>
              <w:t>年</w:t>
            </w:r>
            <w:r>
              <w:rPr>
                <w:rFonts w:hint="default" w:ascii="Times New Roman" w:cs="Times New Roman"/>
                <w:color w:val="000000"/>
                <w:kern w:val="0"/>
                <w:sz w:val="28"/>
                <w:szCs w:val="32"/>
                <w:lang w:val="en" w:eastAsia="zh-CN"/>
              </w:rPr>
              <w:t>5</w:t>
            </w:r>
            <w:r>
              <w:rPr>
                <w:rFonts w:hint="default" w:ascii="Times New Roman" w:hAnsi="Times New Roman" w:eastAsia="仿宋_GB2312" w:cs="Times New Roman"/>
                <w:color w:val="000000"/>
                <w:kern w:val="0"/>
                <w:sz w:val="28"/>
                <w:szCs w:val="32"/>
              </w:rPr>
              <w:t>月</w:t>
            </w:r>
            <w:r>
              <w:rPr>
                <w:rFonts w:hint="default" w:ascii="Times New Roman" w:cs="Times New Roman"/>
                <w:color w:val="000000"/>
                <w:kern w:val="0"/>
                <w:sz w:val="28"/>
                <w:szCs w:val="32"/>
                <w:lang w:val="en" w:eastAsia="zh-CN"/>
              </w:rPr>
              <w:t>29</w:t>
            </w:r>
            <w:r>
              <w:rPr>
                <w:rFonts w:hint="default" w:ascii="Times New Roman" w:hAnsi="Times New Roman" w:eastAsia="仿宋_GB2312" w:cs="Times New Roman"/>
                <w:color w:val="000000"/>
                <w:kern w:val="0"/>
                <w:sz w:val="28"/>
                <w:szCs w:val="32"/>
              </w:rPr>
              <w:t>日印发</w:t>
            </w:r>
          </w:p>
        </w:tc>
      </w:tr>
    </w:tbl>
    <w:p>
      <w:pPr>
        <w:pStyle w:val="2"/>
        <w:ind w:left="0" w:leftChars="0" w:firstLine="0" w:firstLineChars="0"/>
        <w:rPr>
          <w:rFonts w:hint="default"/>
          <w:lang w:val="en-US" w:eastAsia="zh-CN"/>
        </w:rPr>
      </w:pPr>
    </w:p>
    <w:sectPr>
      <w:footerReference r:id="rId3" w:type="default"/>
      <w:pgSz w:w="11906" w:h="16838"/>
      <w:pgMar w:top="2041" w:right="1531" w:bottom="204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9vPBLtIBAACE&#10;AwAADgAAAAAAAAABACAAAAA0AQAAZHJzL2Uyb0RvYy54bWxQSwUGAAAAAAYABgBZAQAAeAUAAAAA&#10;">
              <v:fill on="f" focussize="0,0"/>
              <v:stroke on="f"/>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FED3B4"/>
    <w:multiLevelType w:val="singleLevel"/>
    <w:tmpl w:val="7CFED3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OWE5YzBiNmU3YjVlMTE2MjFlNmNiZTlmNTI4ZDEifQ=="/>
  </w:docVars>
  <w:rsids>
    <w:rsidRoot w:val="00000000"/>
    <w:rsid w:val="02B54199"/>
    <w:rsid w:val="034059A2"/>
    <w:rsid w:val="03531FD2"/>
    <w:rsid w:val="0660251E"/>
    <w:rsid w:val="1860219A"/>
    <w:rsid w:val="19D107EA"/>
    <w:rsid w:val="23174909"/>
    <w:rsid w:val="242F0861"/>
    <w:rsid w:val="26866AAC"/>
    <w:rsid w:val="2B9A10B0"/>
    <w:rsid w:val="2DDD5211"/>
    <w:rsid w:val="30223C55"/>
    <w:rsid w:val="42997366"/>
    <w:rsid w:val="481E189C"/>
    <w:rsid w:val="499B55ED"/>
    <w:rsid w:val="4A4005CA"/>
    <w:rsid w:val="5E5E5C70"/>
    <w:rsid w:val="63866E94"/>
    <w:rsid w:val="63DC4DE0"/>
    <w:rsid w:val="6F7F97A9"/>
    <w:rsid w:val="79BB67B5"/>
    <w:rsid w:val="7C47F08F"/>
    <w:rsid w:val="7DF6CBDE"/>
    <w:rsid w:val="F3871027"/>
    <w:rsid w:val="F7CE2D40"/>
    <w:rsid w:val="FC6FD18E"/>
    <w:rsid w:val="FE3F65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仿宋_GB2312"/>
      <w:kern w:val="2"/>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widowControl w:val="0"/>
      <w:spacing w:line="480" w:lineRule="auto"/>
      <w:ind w:firstLine="200" w:firstLineChars="200"/>
      <w:jc w:val="both"/>
    </w:pPr>
    <w:rPr>
      <w:rFonts w:ascii="Calibri" w:hAnsi="Calibri" w:eastAsia="宋体" w:cs="Times New Roman"/>
      <w:kern w:val="2"/>
      <w:sz w:val="30"/>
      <w:szCs w:val="22"/>
      <w:lang w:val="en-US" w:eastAsia="zh-CN" w:bidi="ar-SA"/>
    </w:rPr>
  </w:style>
  <w:style w:type="paragraph" w:styleId="3">
    <w:name w:val="Body Text Indent"/>
    <w:basedOn w:val="1"/>
    <w:next w:val="4"/>
    <w:qFormat/>
    <w:uiPriority w:val="0"/>
    <w:pPr>
      <w:widowControl w:val="0"/>
      <w:spacing w:line="480" w:lineRule="auto"/>
      <w:ind w:firstLine="602" w:firstLineChars="200"/>
      <w:jc w:val="both"/>
    </w:pPr>
    <w:rPr>
      <w:rFonts w:ascii="仿宋_GB2312" w:hAnsi="Calibri" w:eastAsia="仿宋_GB2312" w:cs="Times New Roman"/>
      <w:b/>
      <w:kern w:val="2"/>
      <w:sz w:val="30"/>
      <w:szCs w:val="22"/>
      <w:lang w:val="en-US" w:eastAsia="zh-CN" w:bidi="ar-SA"/>
    </w:rPr>
  </w:style>
  <w:style w:type="paragraph" w:styleId="4">
    <w:name w:val="Body Text"/>
    <w:basedOn w:val="1"/>
    <w:next w:val="1"/>
    <w:qFormat/>
    <w:uiPriority w:val="0"/>
    <w:pPr>
      <w:jc w:val="center"/>
    </w:pPr>
    <w:rPr>
      <w:rFonts w:ascii="黑体" w:hAnsi="方正小标宋简体" w:eastAsia="黑体"/>
      <w:sz w:val="36"/>
      <w:szCs w:val="44"/>
    </w:rPr>
  </w:style>
  <w:style w:type="paragraph" w:styleId="5">
    <w:name w:val="Body Text First Indent"/>
    <w:basedOn w:val="4"/>
    <w:next w:val="2"/>
    <w:qFormat/>
    <w:uiPriority w:val="0"/>
    <w:pPr>
      <w:widowControl w:val="0"/>
      <w:spacing w:afterLines="0" w:afterAutospacing="0" w:line="600" w:lineRule="exact"/>
      <w:ind w:firstLine="420" w:firstLineChars="100"/>
      <w:jc w:val="both"/>
    </w:pPr>
    <w:rPr>
      <w:rFonts w:ascii="仿宋_GB2312" w:hAnsi="仿宋_GB2312" w:eastAsia="宋体" w:cs="仿宋_GB2312"/>
      <w:kern w:val="2"/>
      <w:sz w:val="21"/>
      <w:szCs w:val="22"/>
      <w:lang w:val="en-US" w:eastAsia="zh-CN" w:bidi="ar-SA"/>
    </w:rPr>
  </w:style>
  <w:style w:type="paragraph" w:styleId="6">
    <w:name w:val="Normal Indent"/>
    <w:basedOn w:val="1"/>
    <w:qFormat/>
    <w:uiPriority w:val="99"/>
    <w:pPr>
      <w:ind w:firstLine="4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1">
    <w:name w:val="font11"/>
    <w:basedOn w:val="10"/>
    <w:qFormat/>
    <w:uiPriority w:val="0"/>
    <w:rPr>
      <w:rFonts w:hint="eastAsia" w:ascii="宋体" w:hAnsi="宋体" w:eastAsia="宋体" w:cs="宋体"/>
      <w:color w:val="000000"/>
      <w:sz w:val="22"/>
      <w:szCs w:val="22"/>
      <w:u w:val="none"/>
    </w:rPr>
  </w:style>
  <w:style w:type="character" w:customStyle="1" w:styleId="12">
    <w:name w:val="font01"/>
    <w:basedOn w:val="10"/>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2022-08-12T01:09:00Z</dcterms:created>
  <dc:creator>Administrator</dc:creator>
  <cp:lastModifiedBy>user</cp:lastModifiedBy>
  <cp:lastPrinted>2024-06-04T16:38:41Z</cp:lastPrinted>
  <dcterms:modified xsi:type="dcterms:W3CDTF">2024-06-04T16:45:31Z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84652592CD304E3F8FE569C757EA5680_13</vt:lpwstr>
  </property>
</Properties>
</file>